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Subject line: Disclosure of Disability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Helvetica Neue" w:cs="Helvetica Neue" w:eastAsia="Helvetica Neue" w:hAnsi="Helvetica Neue"/>
          <w:shd w:fill="ffd966" w:val="clear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Dear </w:t>
      </w:r>
      <w:r w:rsidDel="00000000" w:rsidR="00000000" w:rsidRPr="00000000">
        <w:rPr>
          <w:rFonts w:ascii="Helvetica Neue" w:cs="Helvetica Neue" w:eastAsia="Helvetica Neue" w:hAnsi="Helvetica Neue"/>
          <w:shd w:fill="f1c232" w:val="clear"/>
          <w:rtl w:val="0"/>
        </w:rPr>
        <w:t xml:space="preserve">(name)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wanted to let you know that I have Attention Deficit Hyperactivity Disorder, which has a long term, substantial and negative effect on my ability to do normal activities as my colleagues are able to.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being said,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research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links many strengths such as divergent thinking, the ability to hyper-focus, and resilience with ADHD.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am still learning about the condition and how it affects me myself, but I hope that disclosing this disability to you will lead to an effective working environment where these strengths can be harnessed, and challenges can be supported.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am planning to apply for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Access to Work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 Government funding scheme for workplace support additional to reasonable adjustments, such as software and administrative support. Waiting times are generally 6 months before applications are processed, at which point they will confirm my employment with you.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 terms of next steps, I would appreciate: </w:t>
        <w:br w:type="textWrapping"/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firstLine="0"/>
        <w:rPr>
          <w:rFonts w:ascii="Helvetica Neue" w:cs="Helvetica Neue" w:eastAsia="Helvetica Neue" w:hAnsi="Helvetica Neu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Understanding standard company processes and next steps in relation to disclosing a disability, such as any relevant policies.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0" w:firstLine="0"/>
        <w:rPr>
          <w:rFonts w:ascii="Helvetica Neue" w:cs="Helvetica Neue" w:eastAsia="Helvetica Neue" w:hAnsi="Helvetica Neu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hd w:fill="ffd966" w:val="clear"/>
          <w:rtl w:val="0"/>
        </w:rPr>
        <w:t xml:space="preserve">Support in funding a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shd w:fill="ffd966" w:val="clear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shd w:fill="ffd966" w:val="clear"/>
            <w:rtl w:val="0"/>
          </w:rPr>
          <w:t xml:space="preserve">workplace course</w:t>
        </w:r>
      </w:hyperlink>
      <w:r w:rsidDel="00000000" w:rsidR="00000000" w:rsidRPr="00000000">
        <w:rPr>
          <w:rFonts w:ascii="Helvetica Neue" w:cs="Helvetica Neue" w:eastAsia="Helvetica Neue" w:hAnsi="Helvetica Neue"/>
          <w:shd w:fill="ffd966" w:val="clear"/>
          <w:rtl w:val="0"/>
        </w:rPr>
        <w:t xml:space="preserve"> based on the 30% executive functioning impact of ADHD for me to identify strategies and reasonable adjustments that may help me.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]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0" w:firstLine="0"/>
        <w:rPr>
          <w:rFonts w:ascii="Helvetica Neue" w:cs="Helvetica Neue" w:eastAsia="Helvetica Neue" w:hAnsi="Helvetica Neu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Reassurance of how this discussion can be picked up when I feel clearer about what I would like to happen next.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rPr>
          <w:rFonts w:ascii="Helvetica Neue" w:cs="Helvetica Neue" w:eastAsia="Helvetica Neue" w:hAnsi="Helvetica Neu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Confirmation that it is okay to put yourself down as a contact for Access to Work, or whether a colleague would be better placed.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 the meantime, some resources that may be helpful include: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podcast episode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with a manager and a person they line managed who has ADHD.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article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on reasonable adjustments that can support employees with ADHD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  <w:u w:val="none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ADHD Works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offering support, guidance and training for employers.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Thank you very much in advance for your help with this.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Kind wishes,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shd w:fill="ffd966" w:val="clear"/>
          <w:rtl w:val="0"/>
        </w:rPr>
        <w:t xml:space="preserve">Name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pen.spotify.com/episode/5RLb8lIcbJrEMjtVU8qw7n" TargetMode="External"/><Relationship Id="rId10" Type="http://schemas.openxmlformats.org/officeDocument/2006/relationships/hyperlink" Target="https://adhdworks.thinkific.com/courses/harness-your-adhd-at-work" TargetMode="External"/><Relationship Id="rId13" Type="http://schemas.openxmlformats.org/officeDocument/2006/relationships/hyperlink" Target="https://www.adhdworks.info" TargetMode="External"/><Relationship Id="rId12" Type="http://schemas.openxmlformats.org/officeDocument/2006/relationships/hyperlink" Target="https://www.peoplemanagement.co.uk/article/1816157/adjustments-hr-support-adhd-employe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dhdworks.thinkific.com/courses/harness-your-adhd-at-wor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nk.springer.com/article/10.1007/s12402-018-0277-6" TargetMode="External"/><Relationship Id="rId8" Type="http://schemas.openxmlformats.org/officeDocument/2006/relationships/hyperlink" Target="https://www.gov.uk/access-to-work/eligibilit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pQBE6PLwExtEN2Ly7ZrnZ810g==">CgMxLjAaLQoBMBIoCiYIB0IiCg5IZWx2ZXRpY2EgTmV1ZRIQQXJpYWwgVW5pY29kZSBNUxotCgExEigKJggHQiIKDkhlbHZldGljYSBOZXVlEhBBcmlhbCBVbmljb2RlIE1TGi0KATISKAomCAdCIgoOSGVsdmV0aWNhIE5ldWUSEEFyaWFsIFVuaWNvZGUgTVMaLQoBMxIoCiYIB0IiCg5IZWx2ZXRpY2EgTmV1ZRIQQXJpYWwgVW5pY29kZSBNUzgAciExNW82ODlDRklmV3BtM3oyai13cG43YkxoWktyVWZqU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